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A5331" w14:textId="4DD8EC93" w:rsidR="00B500E1" w:rsidRPr="00B500E1" w:rsidRDefault="00B500E1" w:rsidP="00B500E1">
      <w:pPr>
        <w:pStyle w:val="NormalWeb"/>
      </w:pPr>
      <w:r>
        <w:t xml:space="preserve">                                            </w:t>
      </w:r>
      <w:r>
        <w:rPr>
          <w:noProof/>
        </w:rPr>
        <w:drawing>
          <wp:inline distT="0" distB="0" distL="0" distR="0" wp14:anchorId="5DAD7B48" wp14:editId="7F980F77">
            <wp:extent cx="1935480" cy="967740"/>
            <wp:effectExtent l="0" t="0" r="7620" b="3810"/>
            <wp:docPr id="6986640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5480" cy="967740"/>
                    </a:xfrm>
                    <a:prstGeom prst="rect">
                      <a:avLst/>
                    </a:prstGeom>
                    <a:noFill/>
                    <a:ln>
                      <a:noFill/>
                    </a:ln>
                  </pic:spPr>
                </pic:pic>
              </a:graphicData>
            </a:graphic>
          </wp:inline>
        </w:drawing>
      </w:r>
    </w:p>
    <w:p w14:paraId="20BF1B5E" w14:textId="1ECB9AB2" w:rsidR="00B500E1" w:rsidRDefault="00B500E1" w:rsidP="00B500E1">
      <w:pPr>
        <w:jc w:val="center"/>
        <w:rPr>
          <w:b/>
          <w:sz w:val="28"/>
          <w:szCs w:val="28"/>
        </w:rPr>
      </w:pPr>
      <w:r>
        <w:rPr>
          <w:b/>
          <w:sz w:val="28"/>
          <w:szCs w:val="28"/>
        </w:rPr>
        <w:t>Décharge de responsabilité/consentement éclairé</w:t>
      </w:r>
    </w:p>
    <w:p w14:paraId="5E89B4F2" w14:textId="77777777" w:rsidR="00B500E1" w:rsidRDefault="00B500E1" w:rsidP="00B500E1">
      <w:pPr>
        <w:jc w:val="both"/>
        <w:rPr>
          <w:b/>
          <w:i/>
          <w:sz w:val="20"/>
          <w:szCs w:val="20"/>
        </w:rPr>
      </w:pPr>
      <w:r>
        <w:rPr>
          <w:b/>
          <w:i/>
          <w:sz w:val="20"/>
          <w:szCs w:val="20"/>
        </w:rPr>
        <w:t>La tatoueuse déclare exercer son art dans le respect de la réglementation en vigueur, en matière de sécurité sanitaire par exemple, et utiliser uniquement du matériel stérile à usage unique. Celui-ci reconnaît être en pleine possession de ses moyens, et s’engage à reproduire le plus fidèlement possible le motif souhaité par le client (toute modification du motif original sera entendue et convenue entre la tatoueuse/tatoueur et son client avant que la séance ne commence).</w:t>
      </w:r>
    </w:p>
    <w:p w14:paraId="63EF92E9" w14:textId="77777777" w:rsidR="00B500E1" w:rsidRDefault="00B500E1" w:rsidP="00B500E1">
      <w:pPr>
        <w:jc w:val="both"/>
        <w:rPr>
          <w:b/>
          <w:sz w:val="20"/>
          <w:szCs w:val="20"/>
        </w:rPr>
      </w:pPr>
      <w:r>
        <w:rPr>
          <w:b/>
          <w:sz w:val="20"/>
          <w:szCs w:val="20"/>
        </w:rPr>
        <w:t>Nom + prénom : …………………………………………………………………………………………………………………………………………….</w:t>
      </w:r>
    </w:p>
    <w:p w14:paraId="78E3DD2B" w14:textId="77777777" w:rsidR="00B500E1" w:rsidRDefault="00B500E1" w:rsidP="00B500E1">
      <w:pPr>
        <w:jc w:val="both"/>
        <w:rPr>
          <w:b/>
          <w:sz w:val="20"/>
          <w:szCs w:val="20"/>
        </w:rPr>
      </w:pPr>
      <w:r>
        <w:rPr>
          <w:b/>
          <w:sz w:val="20"/>
          <w:szCs w:val="20"/>
        </w:rPr>
        <w:t>Adresse : ………………………………………………………………………………………………………………………………………………………..</w:t>
      </w:r>
    </w:p>
    <w:p w14:paraId="58A8A35F" w14:textId="77777777" w:rsidR="00B500E1" w:rsidRDefault="00B500E1" w:rsidP="00B500E1">
      <w:pPr>
        <w:jc w:val="both"/>
        <w:rPr>
          <w:b/>
          <w:sz w:val="20"/>
          <w:szCs w:val="20"/>
        </w:rPr>
      </w:pPr>
      <w:r>
        <w:rPr>
          <w:b/>
          <w:sz w:val="20"/>
          <w:szCs w:val="20"/>
        </w:rPr>
        <w:t>GSM : …………………………………………………………………………………………………………………………………………………………….</w:t>
      </w:r>
    </w:p>
    <w:p w14:paraId="58904AF4" w14:textId="77777777" w:rsidR="00B500E1" w:rsidRDefault="00B500E1" w:rsidP="00B500E1">
      <w:pPr>
        <w:jc w:val="both"/>
        <w:rPr>
          <w:b/>
          <w:sz w:val="20"/>
          <w:szCs w:val="20"/>
        </w:rPr>
      </w:pPr>
      <w:r>
        <w:rPr>
          <w:b/>
          <w:sz w:val="20"/>
          <w:szCs w:val="20"/>
        </w:rPr>
        <w:t>Date de naissance : ………………………………………………………………………………………………………………………………………..</w:t>
      </w:r>
    </w:p>
    <w:p w14:paraId="32984B82" w14:textId="77777777" w:rsidR="00B500E1" w:rsidRDefault="00B500E1" w:rsidP="00B500E1">
      <w:pPr>
        <w:jc w:val="both"/>
        <w:rPr>
          <w:i/>
          <w:sz w:val="20"/>
          <w:szCs w:val="20"/>
        </w:rPr>
      </w:pPr>
      <w:r>
        <w:rPr>
          <w:i/>
          <w:sz w:val="20"/>
          <w:szCs w:val="20"/>
        </w:rPr>
        <w:t>Aucun mineur en dessous de 16  ans ne pourra être tatoué, et ce, même avec accord parental. A partir de 16 ans il faut la présence d’un parent et son accord (ou tuteur légal) + copie carte ID.</w:t>
      </w:r>
    </w:p>
    <w:p w14:paraId="17957E0A" w14:textId="77777777" w:rsidR="00B500E1" w:rsidRDefault="00B500E1" w:rsidP="00B500E1">
      <w:pPr>
        <w:jc w:val="both"/>
        <w:rPr>
          <w:b/>
          <w:sz w:val="20"/>
          <w:szCs w:val="20"/>
        </w:rPr>
      </w:pPr>
      <w:r>
        <w:rPr>
          <w:b/>
          <w:sz w:val="20"/>
          <w:szCs w:val="20"/>
        </w:rPr>
        <w:t>Par la présente j’atteste sur l’honneur :</w:t>
      </w:r>
    </w:p>
    <w:p w14:paraId="5D1107DE" w14:textId="77777777" w:rsidR="00B500E1" w:rsidRDefault="00B500E1" w:rsidP="00B500E1">
      <w:pPr>
        <w:numPr>
          <w:ilvl w:val="0"/>
          <w:numId w:val="1"/>
        </w:numPr>
        <w:pBdr>
          <w:top w:val="nil"/>
          <w:left w:val="nil"/>
          <w:bottom w:val="nil"/>
          <w:right w:val="nil"/>
          <w:between w:val="nil"/>
        </w:pBdr>
        <w:spacing w:after="0"/>
        <w:jc w:val="both"/>
        <w:rPr>
          <w:color w:val="000000"/>
          <w:sz w:val="20"/>
          <w:szCs w:val="20"/>
        </w:rPr>
      </w:pPr>
      <w:r>
        <w:rPr>
          <w:color w:val="000000"/>
          <w:sz w:val="20"/>
          <w:szCs w:val="20"/>
        </w:rPr>
        <w:t>Être majeur de 18 ans</w:t>
      </w:r>
    </w:p>
    <w:p w14:paraId="7167BF5D" w14:textId="77777777" w:rsidR="00B500E1" w:rsidRDefault="00B500E1" w:rsidP="00B500E1">
      <w:pPr>
        <w:numPr>
          <w:ilvl w:val="0"/>
          <w:numId w:val="1"/>
        </w:numPr>
        <w:pBdr>
          <w:top w:val="nil"/>
          <w:left w:val="nil"/>
          <w:bottom w:val="nil"/>
          <w:right w:val="nil"/>
          <w:between w:val="nil"/>
        </w:pBdr>
        <w:spacing w:after="0"/>
        <w:jc w:val="both"/>
        <w:rPr>
          <w:color w:val="FF0000"/>
          <w:sz w:val="20"/>
          <w:szCs w:val="20"/>
        </w:rPr>
      </w:pPr>
      <w:r>
        <w:rPr>
          <w:color w:val="FF0000"/>
          <w:sz w:val="20"/>
          <w:szCs w:val="20"/>
        </w:rPr>
        <w:t xml:space="preserve">Ne pas être </w:t>
      </w:r>
      <w:r>
        <w:rPr>
          <w:b/>
          <w:color w:val="FF0000"/>
          <w:sz w:val="20"/>
          <w:szCs w:val="20"/>
        </w:rPr>
        <w:t>Diabétique</w:t>
      </w:r>
      <w:r>
        <w:rPr>
          <w:color w:val="FF0000"/>
          <w:sz w:val="20"/>
          <w:szCs w:val="20"/>
        </w:rPr>
        <w:t xml:space="preserve"> (risque de mauvaise cicatrisation pouvant mener à de graves problèmes)</w:t>
      </w:r>
    </w:p>
    <w:p w14:paraId="34254C52" w14:textId="77777777" w:rsidR="00B500E1" w:rsidRDefault="00B500E1" w:rsidP="00B500E1">
      <w:pPr>
        <w:numPr>
          <w:ilvl w:val="0"/>
          <w:numId w:val="1"/>
        </w:numPr>
        <w:pBdr>
          <w:top w:val="nil"/>
          <w:left w:val="nil"/>
          <w:bottom w:val="nil"/>
          <w:right w:val="nil"/>
          <w:between w:val="nil"/>
        </w:pBdr>
        <w:spacing w:after="0"/>
        <w:jc w:val="both"/>
        <w:rPr>
          <w:color w:val="000000"/>
          <w:sz w:val="20"/>
          <w:szCs w:val="20"/>
        </w:rPr>
      </w:pPr>
      <w:r>
        <w:rPr>
          <w:color w:val="000000"/>
          <w:sz w:val="20"/>
          <w:szCs w:val="20"/>
        </w:rPr>
        <w:t>Savoir que le tatouage est indélébile</w:t>
      </w:r>
    </w:p>
    <w:p w14:paraId="15EDB13F" w14:textId="77777777" w:rsidR="00B500E1" w:rsidRDefault="00B500E1" w:rsidP="00B500E1">
      <w:pPr>
        <w:numPr>
          <w:ilvl w:val="0"/>
          <w:numId w:val="1"/>
        </w:numPr>
        <w:pBdr>
          <w:top w:val="nil"/>
          <w:left w:val="nil"/>
          <w:bottom w:val="nil"/>
          <w:right w:val="nil"/>
          <w:between w:val="nil"/>
        </w:pBdr>
        <w:spacing w:after="0"/>
        <w:jc w:val="both"/>
        <w:rPr>
          <w:color w:val="000000"/>
          <w:sz w:val="20"/>
          <w:szCs w:val="20"/>
        </w:rPr>
      </w:pPr>
      <w:r>
        <w:rPr>
          <w:color w:val="000000"/>
          <w:sz w:val="20"/>
          <w:szCs w:val="20"/>
        </w:rPr>
        <w:t>Être sain d’esprit et en possession de mes moyens</w:t>
      </w:r>
    </w:p>
    <w:p w14:paraId="5AB56DFD" w14:textId="77777777" w:rsidR="00B500E1" w:rsidRDefault="00B500E1" w:rsidP="00B500E1">
      <w:pPr>
        <w:numPr>
          <w:ilvl w:val="0"/>
          <w:numId w:val="1"/>
        </w:numPr>
        <w:pBdr>
          <w:top w:val="nil"/>
          <w:left w:val="nil"/>
          <w:bottom w:val="nil"/>
          <w:right w:val="nil"/>
          <w:between w:val="nil"/>
        </w:pBdr>
        <w:spacing w:after="0"/>
        <w:jc w:val="both"/>
        <w:rPr>
          <w:color w:val="FF0000"/>
          <w:sz w:val="20"/>
          <w:szCs w:val="20"/>
        </w:rPr>
      </w:pPr>
      <w:r>
        <w:rPr>
          <w:color w:val="FF0000"/>
          <w:sz w:val="20"/>
          <w:szCs w:val="20"/>
        </w:rPr>
        <w:t>Ne pas être sous l’emprise de stupéfiant, de drogue, d’alcool ou de psychotropes</w:t>
      </w:r>
    </w:p>
    <w:p w14:paraId="7D497446" w14:textId="77777777" w:rsidR="00B500E1" w:rsidRDefault="00B500E1" w:rsidP="00B500E1">
      <w:pPr>
        <w:numPr>
          <w:ilvl w:val="0"/>
          <w:numId w:val="1"/>
        </w:numPr>
        <w:pBdr>
          <w:top w:val="nil"/>
          <w:left w:val="nil"/>
          <w:bottom w:val="nil"/>
          <w:right w:val="nil"/>
          <w:between w:val="nil"/>
        </w:pBdr>
        <w:spacing w:after="0"/>
        <w:jc w:val="both"/>
        <w:rPr>
          <w:color w:val="000000"/>
          <w:sz w:val="20"/>
          <w:szCs w:val="20"/>
        </w:rPr>
      </w:pPr>
      <w:r>
        <w:rPr>
          <w:color w:val="000000"/>
          <w:sz w:val="20"/>
          <w:szCs w:val="20"/>
        </w:rPr>
        <w:t>De n’être atteint d’aucune maladie sanguine (VIH, hépatite, diabète, hémophilie…)</w:t>
      </w:r>
    </w:p>
    <w:p w14:paraId="05FE9AD1" w14:textId="77777777" w:rsidR="00B500E1" w:rsidRDefault="00B500E1" w:rsidP="00B500E1">
      <w:pPr>
        <w:numPr>
          <w:ilvl w:val="0"/>
          <w:numId w:val="1"/>
        </w:numPr>
        <w:pBdr>
          <w:top w:val="nil"/>
          <w:left w:val="nil"/>
          <w:bottom w:val="nil"/>
          <w:right w:val="nil"/>
          <w:between w:val="nil"/>
        </w:pBdr>
        <w:spacing w:after="0"/>
        <w:jc w:val="both"/>
        <w:rPr>
          <w:color w:val="000000"/>
          <w:sz w:val="20"/>
          <w:szCs w:val="20"/>
        </w:rPr>
      </w:pPr>
      <w:r>
        <w:rPr>
          <w:color w:val="000000"/>
          <w:sz w:val="20"/>
          <w:szCs w:val="20"/>
        </w:rPr>
        <w:t>De n’être atteint d’aucune déficience cardiaque ou auto-immunitaire</w:t>
      </w:r>
    </w:p>
    <w:p w14:paraId="1386014C" w14:textId="77777777" w:rsidR="00B500E1" w:rsidRDefault="00B500E1" w:rsidP="00B500E1">
      <w:pPr>
        <w:numPr>
          <w:ilvl w:val="0"/>
          <w:numId w:val="1"/>
        </w:numPr>
        <w:pBdr>
          <w:top w:val="nil"/>
          <w:left w:val="nil"/>
          <w:bottom w:val="nil"/>
          <w:right w:val="nil"/>
          <w:between w:val="nil"/>
        </w:pBdr>
        <w:spacing w:after="0"/>
        <w:jc w:val="both"/>
        <w:rPr>
          <w:color w:val="000000"/>
          <w:sz w:val="20"/>
          <w:szCs w:val="20"/>
        </w:rPr>
      </w:pPr>
      <w:r>
        <w:rPr>
          <w:color w:val="000000"/>
          <w:sz w:val="20"/>
          <w:szCs w:val="20"/>
        </w:rPr>
        <w:t>De n’être sous aucun traitement quel qu’il soit</w:t>
      </w:r>
    </w:p>
    <w:p w14:paraId="16EC6B06" w14:textId="77777777" w:rsidR="00B500E1" w:rsidRDefault="00B500E1" w:rsidP="00B500E1">
      <w:pPr>
        <w:numPr>
          <w:ilvl w:val="0"/>
          <w:numId w:val="1"/>
        </w:numPr>
        <w:pBdr>
          <w:top w:val="nil"/>
          <w:left w:val="nil"/>
          <w:bottom w:val="nil"/>
          <w:right w:val="nil"/>
          <w:between w:val="nil"/>
        </w:pBdr>
        <w:spacing w:after="0"/>
        <w:jc w:val="both"/>
        <w:rPr>
          <w:color w:val="000000"/>
          <w:sz w:val="20"/>
          <w:szCs w:val="20"/>
        </w:rPr>
      </w:pPr>
      <w:r>
        <w:rPr>
          <w:color w:val="000000"/>
          <w:sz w:val="20"/>
          <w:szCs w:val="20"/>
        </w:rPr>
        <w:t>Ne pas prendre de médicaments susceptibles de fluidifier le sang</w:t>
      </w:r>
    </w:p>
    <w:p w14:paraId="06D27151" w14:textId="77777777" w:rsidR="00B500E1" w:rsidRDefault="00B500E1" w:rsidP="00B500E1">
      <w:pPr>
        <w:numPr>
          <w:ilvl w:val="0"/>
          <w:numId w:val="1"/>
        </w:numPr>
        <w:pBdr>
          <w:top w:val="nil"/>
          <w:left w:val="nil"/>
          <w:bottom w:val="nil"/>
          <w:right w:val="nil"/>
          <w:between w:val="nil"/>
        </w:pBdr>
        <w:spacing w:after="0"/>
        <w:jc w:val="both"/>
        <w:rPr>
          <w:color w:val="000000"/>
          <w:sz w:val="20"/>
          <w:szCs w:val="20"/>
        </w:rPr>
      </w:pPr>
      <w:r>
        <w:rPr>
          <w:color w:val="000000"/>
          <w:sz w:val="20"/>
          <w:szCs w:val="20"/>
        </w:rPr>
        <w:t xml:space="preserve">De n’être atteint </w:t>
      </w:r>
      <w:r>
        <w:rPr>
          <w:color w:val="FF0000"/>
          <w:sz w:val="20"/>
          <w:szCs w:val="20"/>
        </w:rPr>
        <w:t xml:space="preserve">d’aucune allergie </w:t>
      </w:r>
      <w:r>
        <w:rPr>
          <w:color w:val="000000"/>
          <w:sz w:val="20"/>
          <w:szCs w:val="20"/>
        </w:rPr>
        <w:t>(aux encres, aux pigments, à certaines matières utilisées pendant le tatouage comme la vaseline, le latex…)</w:t>
      </w:r>
    </w:p>
    <w:p w14:paraId="5251E360" w14:textId="77777777" w:rsidR="00B500E1" w:rsidRDefault="00B500E1" w:rsidP="00B500E1">
      <w:pPr>
        <w:numPr>
          <w:ilvl w:val="0"/>
          <w:numId w:val="1"/>
        </w:numPr>
        <w:pBdr>
          <w:top w:val="nil"/>
          <w:left w:val="nil"/>
          <w:bottom w:val="nil"/>
          <w:right w:val="nil"/>
          <w:between w:val="nil"/>
        </w:pBdr>
        <w:spacing w:after="0"/>
        <w:jc w:val="both"/>
        <w:rPr>
          <w:color w:val="000000"/>
          <w:sz w:val="20"/>
          <w:szCs w:val="20"/>
        </w:rPr>
      </w:pPr>
      <w:r>
        <w:rPr>
          <w:color w:val="000000"/>
          <w:sz w:val="20"/>
          <w:szCs w:val="20"/>
        </w:rPr>
        <w:t xml:space="preserve">De </w:t>
      </w:r>
      <w:r>
        <w:rPr>
          <w:color w:val="FF0000"/>
          <w:sz w:val="20"/>
          <w:szCs w:val="20"/>
        </w:rPr>
        <w:t>ne pas être enceinte</w:t>
      </w:r>
    </w:p>
    <w:p w14:paraId="2A8CC77F" w14:textId="77777777" w:rsidR="00B500E1" w:rsidRDefault="00B500E1" w:rsidP="00B500E1">
      <w:pPr>
        <w:numPr>
          <w:ilvl w:val="0"/>
          <w:numId w:val="1"/>
        </w:numPr>
        <w:pBdr>
          <w:top w:val="nil"/>
          <w:left w:val="nil"/>
          <w:bottom w:val="nil"/>
          <w:right w:val="nil"/>
          <w:between w:val="nil"/>
        </w:pBdr>
        <w:spacing w:after="0"/>
        <w:jc w:val="both"/>
        <w:rPr>
          <w:color w:val="000000"/>
          <w:sz w:val="20"/>
          <w:szCs w:val="20"/>
        </w:rPr>
      </w:pPr>
      <w:r>
        <w:rPr>
          <w:color w:val="000000"/>
          <w:sz w:val="20"/>
          <w:szCs w:val="20"/>
        </w:rPr>
        <w:t>J’atteste avoir pris connaissance de tout ce qui précède et de toutes les informations renseignées à mon sujet son exactes</w:t>
      </w:r>
    </w:p>
    <w:p w14:paraId="75CE2302" w14:textId="77777777" w:rsidR="00B500E1" w:rsidRDefault="00B500E1" w:rsidP="00B500E1">
      <w:pPr>
        <w:numPr>
          <w:ilvl w:val="0"/>
          <w:numId w:val="1"/>
        </w:numPr>
        <w:pBdr>
          <w:top w:val="nil"/>
          <w:left w:val="nil"/>
          <w:bottom w:val="nil"/>
          <w:right w:val="nil"/>
          <w:between w:val="nil"/>
        </w:pBdr>
        <w:spacing w:after="0"/>
        <w:jc w:val="both"/>
        <w:rPr>
          <w:color w:val="000000"/>
          <w:sz w:val="20"/>
          <w:szCs w:val="20"/>
        </w:rPr>
      </w:pPr>
      <w:r>
        <w:rPr>
          <w:color w:val="000000"/>
          <w:sz w:val="20"/>
          <w:szCs w:val="20"/>
        </w:rPr>
        <w:t>De plus je décharge la tatoueuse de toutes conséquences dues au tatouage, qu’elle qu’en soit la nature (malaise, infection, allergie…) et déclare assumer l’entière responsabilité</w:t>
      </w:r>
    </w:p>
    <w:p w14:paraId="0021F5B2" w14:textId="77777777" w:rsidR="00B500E1" w:rsidRDefault="00B500E1" w:rsidP="00B500E1">
      <w:pPr>
        <w:numPr>
          <w:ilvl w:val="0"/>
          <w:numId w:val="1"/>
        </w:numPr>
        <w:pBdr>
          <w:top w:val="nil"/>
          <w:left w:val="nil"/>
          <w:bottom w:val="nil"/>
          <w:right w:val="nil"/>
          <w:between w:val="nil"/>
        </w:pBdr>
        <w:spacing w:after="0"/>
        <w:jc w:val="both"/>
        <w:rPr>
          <w:color w:val="000000"/>
          <w:sz w:val="20"/>
          <w:szCs w:val="20"/>
        </w:rPr>
      </w:pPr>
      <w:r>
        <w:rPr>
          <w:color w:val="000000"/>
          <w:sz w:val="20"/>
          <w:szCs w:val="20"/>
        </w:rPr>
        <w:t>Je reconnais également avoir pris connaissance des éventuels risques liés au tatouage et à ses conséquences, même exceptionnelles</w:t>
      </w:r>
    </w:p>
    <w:p w14:paraId="31DB6BC8" w14:textId="77777777" w:rsidR="00B500E1" w:rsidRDefault="00B500E1" w:rsidP="00B500E1">
      <w:pPr>
        <w:numPr>
          <w:ilvl w:val="0"/>
          <w:numId w:val="1"/>
        </w:numPr>
        <w:pBdr>
          <w:top w:val="nil"/>
          <w:left w:val="nil"/>
          <w:bottom w:val="nil"/>
          <w:right w:val="nil"/>
          <w:between w:val="nil"/>
        </w:pBdr>
        <w:spacing w:after="0"/>
        <w:jc w:val="both"/>
        <w:rPr>
          <w:color w:val="000000"/>
          <w:sz w:val="20"/>
          <w:szCs w:val="20"/>
        </w:rPr>
      </w:pPr>
      <w:r>
        <w:rPr>
          <w:color w:val="FF0000"/>
          <w:sz w:val="20"/>
          <w:szCs w:val="20"/>
        </w:rPr>
        <w:t>Je m’engage en outre à respecter les recommandations de la tatoueuse</w:t>
      </w:r>
      <w:r>
        <w:rPr>
          <w:color w:val="000000"/>
          <w:sz w:val="20"/>
          <w:szCs w:val="20"/>
        </w:rPr>
        <w:t xml:space="preserve"> afin d’éviter toute infection et de garantir la meilleure cicatrisation possible</w:t>
      </w:r>
    </w:p>
    <w:p w14:paraId="49C2A163" w14:textId="77777777" w:rsidR="00B500E1" w:rsidRDefault="00B500E1" w:rsidP="00B500E1">
      <w:pPr>
        <w:numPr>
          <w:ilvl w:val="0"/>
          <w:numId w:val="1"/>
        </w:numPr>
        <w:pBdr>
          <w:top w:val="nil"/>
          <w:left w:val="nil"/>
          <w:bottom w:val="nil"/>
          <w:right w:val="nil"/>
          <w:between w:val="nil"/>
        </w:pBdr>
        <w:spacing w:after="0"/>
        <w:jc w:val="both"/>
        <w:rPr>
          <w:b/>
          <w:color w:val="000000"/>
          <w:sz w:val="20"/>
          <w:szCs w:val="20"/>
        </w:rPr>
      </w:pPr>
      <w:r>
        <w:rPr>
          <w:b/>
          <w:color w:val="000000"/>
          <w:sz w:val="20"/>
          <w:szCs w:val="20"/>
        </w:rPr>
        <w:t>J’autorise qu’on prenne une ou plusieurs photos/vidéos du tatouage pour le poster sur les réseaux sociaux :</w:t>
      </w:r>
    </w:p>
    <w:p w14:paraId="4AB63100" w14:textId="77777777" w:rsidR="00B500E1" w:rsidRDefault="00B500E1" w:rsidP="00B500E1">
      <w:pPr>
        <w:pBdr>
          <w:top w:val="nil"/>
          <w:left w:val="nil"/>
          <w:bottom w:val="nil"/>
          <w:right w:val="nil"/>
          <w:between w:val="nil"/>
        </w:pBdr>
        <w:spacing w:after="0"/>
        <w:ind w:left="720"/>
        <w:jc w:val="center"/>
        <w:rPr>
          <w:b/>
          <w:color w:val="000000"/>
          <w:sz w:val="20"/>
          <w:szCs w:val="20"/>
        </w:rPr>
      </w:pPr>
      <w:r>
        <w:rPr>
          <w:b/>
          <w:color w:val="92D050"/>
          <w:sz w:val="20"/>
          <w:szCs w:val="20"/>
        </w:rPr>
        <w:t xml:space="preserve">O oui                                  </w:t>
      </w:r>
      <w:r>
        <w:rPr>
          <w:b/>
          <w:color w:val="FF0000"/>
          <w:sz w:val="20"/>
          <w:szCs w:val="20"/>
        </w:rPr>
        <w:t>o Non</w:t>
      </w:r>
    </w:p>
    <w:p w14:paraId="4A82A544" w14:textId="77777777" w:rsidR="00B500E1" w:rsidRDefault="00B500E1" w:rsidP="00B500E1">
      <w:pPr>
        <w:pBdr>
          <w:top w:val="nil"/>
          <w:left w:val="nil"/>
          <w:bottom w:val="nil"/>
          <w:right w:val="nil"/>
          <w:between w:val="nil"/>
        </w:pBdr>
        <w:spacing w:after="0"/>
        <w:ind w:left="720"/>
        <w:jc w:val="both"/>
        <w:rPr>
          <w:color w:val="000000"/>
          <w:sz w:val="20"/>
          <w:szCs w:val="20"/>
        </w:rPr>
      </w:pPr>
      <w:r>
        <w:rPr>
          <w:color w:val="000000"/>
          <w:sz w:val="20"/>
          <w:szCs w:val="20"/>
        </w:rPr>
        <w:t>Lu et approuvé, fait à Liège le…………………………………………………………………………………………………………………</w:t>
      </w:r>
    </w:p>
    <w:p w14:paraId="110AFA7F" w14:textId="77777777" w:rsidR="00B500E1" w:rsidRDefault="00B500E1" w:rsidP="00B500E1">
      <w:pPr>
        <w:pBdr>
          <w:top w:val="nil"/>
          <w:left w:val="nil"/>
          <w:bottom w:val="nil"/>
          <w:right w:val="nil"/>
          <w:between w:val="nil"/>
        </w:pBdr>
        <w:ind w:left="720"/>
        <w:jc w:val="center"/>
        <w:rPr>
          <w:color w:val="000000"/>
          <w:sz w:val="20"/>
          <w:szCs w:val="20"/>
        </w:rPr>
      </w:pPr>
      <w:r>
        <w:rPr>
          <w:color w:val="000000"/>
          <w:sz w:val="20"/>
          <w:szCs w:val="20"/>
        </w:rPr>
        <w:t>Signature :</w:t>
      </w:r>
    </w:p>
    <w:p w14:paraId="6D3896FA" w14:textId="77777777" w:rsidR="00B500E1" w:rsidRDefault="00B500E1" w:rsidP="00B500E1"/>
    <w:p w14:paraId="2F04E18B" w14:textId="77777777" w:rsidR="00B500E1" w:rsidRDefault="00B500E1" w:rsidP="00B500E1"/>
    <w:p w14:paraId="694D5A8D"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b/>
          <w:color w:val="010106"/>
          <w:sz w:val="21"/>
          <w:szCs w:val="21"/>
        </w:rPr>
      </w:pPr>
    </w:p>
    <w:p w14:paraId="5797B0E2"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b/>
          <w:color w:val="010106"/>
          <w:sz w:val="16"/>
          <w:szCs w:val="16"/>
        </w:rPr>
        <w:t>Art. 6.</w:t>
      </w:r>
      <w:r>
        <w:rPr>
          <w:rFonts w:ascii="Lato" w:eastAsia="Lato" w:hAnsi="Lato" w:cs="Lato"/>
          <w:color w:val="010106"/>
          <w:sz w:val="16"/>
          <w:szCs w:val="16"/>
        </w:rPr>
        <w:t>Les tatouages et les piercings ne peuvent être effectués sur des personnes qui sont manifestement sous l'influence de l'alcool, de drogues, de médicament qui influencent leur capacité de décision ou, plus généralement, qui ne sont pas en possession de leurs capacités de décision.</w:t>
      </w:r>
    </w:p>
    <w:p w14:paraId="7169A9E3"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color w:val="010106"/>
          <w:sz w:val="16"/>
          <w:szCs w:val="16"/>
        </w:rPr>
        <w:t>Le professionnel doit s'assurer du fait que le client est en état moral, notamment en ce qui concerne la maturité, et physique de subir l'acte et, le cas échéant, ne pas accomplir l'acte.</w:t>
      </w:r>
    </w:p>
    <w:p w14:paraId="7DA756DB"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color w:val="010106"/>
          <w:sz w:val="16"/>
          <w:szCs w:val="16"/>
        </w:rPr>
        <w:t>Avant d'effectuer l'acte, il doit accorder un temps de réflexion au client, et notamment lui donner la possibilité de revenir ultérieurement.</w:t>
      </w:r>
    </w:p>
    <w:p w14:paraId="17BC1742"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b/>
          <w:color w:val="010106"/>
          <w:sz w:val="16"/>
          <w:szCs w:val="16"/>
        </w:rPr>
        <w:t>Art. 7.</w:t>
      </w:r>
      <w:r>
        <w:rPr>
          <w:rFonts w:ascii="Lato" w:eastAsia="Lato" w:hAnsi="Lato" w:cs="Lato"/>
          <w:color w:val="010106"/>
          <w:sz w:val="16"/>
          <w:szCs w:val="16"/>
        </w:rPr>
        <w:t>Préalablement à l'acte, les clients doivent signer un écrit établi en deux exemplaires, dont l'un est remis au client, par lequel ils marquent leur consentement. Cet écrit mentionne dans un caractère lisible les risques liés au tatouage et/ou au piercing, les cas dans lesquels une visite préalable chez le médecin est demandée, les soins nécessaires à apporter pendant la cicatrisation, les précautions particulières, les contre-indications et les complications.</w:t>
      </w:r>
    </w:p>
    <w:p w14:paraId="25D4F0A8"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color w:val="010106"/>
          <w:sz w:val="16"/>
          <w:szCs w:val="16"/>
        </w:rPr>
        <w:t>L'écrit mentionne également le type d'acte, la date, la marque et le numéro de lot des produits utilisés.</w:t>
      </w:r>
    </w:p>
    <w:p w14:paraId="752120EA"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color w:val="010106"/>
          <w:sz w:val="16"/>
          <w:szCs w:val="16"/>
        </w:rPr>
        <w:t>Le Ministre peut déterminer un formulaire standard de l'écrit visé à l'alinéa 1er.</w:t>
      </w:r>
    </w:p>
    <w:p w14:paraId="12F8A094"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b/>
          <w:color w:val="010106"/>
          <w:sz w:val="16"/>
          <w:szCs w:val="16"/>
        </w:rPr>
        <w:t>Art. 8.</w:t>
      </w:r>
      <w:r>
        <w:rPr>
          <w:rFonts w:ascii="Lato" w:eastAsia="Lato" w:hAnsi="Lato" w:cs="Lato"/>
          <w:color w:val="010106"/>
          <w:sz w:val="16"/>
          <w:szCs w:val="16"/>
        </w:rPr>
        <w:t xml:space="preserve">Les professionnels ont l'obligation d'informer le client de manière orale et par un écrit affiché dans la salle d'attente et/ou dans la salle de travail, de manière lisible et facilement visible par eux, rédigé comme suit : « Le piercing et le tatouage effectués dans de mauvaises conditions comportent des risques pour la santé. On relèvera notamment les risques suivants : - des infections bactériennes, notamment : des infections de la peau ou du cartilage (par exemple par le staphylococcus aureus ), le </w:t>
      </w:r>
      <w:proofErr w:type="spellStart"/>
      <w:r>
        <w:rPr>
          <w:rFonts w:ascii="Lato" w:eastAsia="Lato" w:hAnsi="Lato" w:cs="Lato"/>
          <w:color w:val="010106"/>
          <w:sz w:val="16"/>
          <w:szCs w:val="16"/>
        </w:rPr>
        <w:t>tetanos</w:t>
      </w:r>
      <w:proofErr w:type="spellEnd"/>
      <w:r>
        <w:rPr>
          <w:rFonts w:ascii="Lato" w:eastAsia="Lato" w:hAnsi="Lato" w:cs="Lato"/>
          <w:color w:val="010106"/>
          <w:sz w:val="16"/>
          <w:szCs w:val="16"/>
        </w:rPr>
        <w:t>, ...; - des infections virales, notamment les hépatites et le sida, ...; - des réactions allergiques notamment contre des ingrédients présents dans les encres, les colorants et les objets insérés.</w:t>
      </w:r>
    </w:p>
    <w:p w14:paraId="67351312"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color w:val="010106"/>
          <w:sz w:val="16"/>
          <w:szCs w:val="16"/>
        </w:rPr>
        <w:t>Avant de procéder au piercing ou au tatouage, sont priées de se rendre chez le médecin les personnes : - souffrant d'hémophilie, d'un trouble de coagulation ou qui prennent des médicaments susceptibles d'interférer avec la coagulation du sang et la formation d'un caillot; - souffrant d'une diminution du système immunitaire ou d'infections à répétition; - souffrant d'allergie; - souffrant d'une affection cutanée; - souffrant d'une maladie cardiaque; - les femmes enceintes.</w:t>
      </w:r>
    </w:p>
    <w:p w14:paraId="7A299A6A"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color w:val="010106"/>
          <w:sz w:val="16"/>
          <w:szCs w:val="16"/>
        </w:rPr>
        <w:t>Les tatouages et piercings sont durables voire permanents et irréversibles.</w:t>
      </w:r>
    </w:p>
    <w:p w14:paraId="2915BE88"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color w:val="010106"/>
          <w:sz w:val="16"/>
          <w:szCs w:val="16"/>
        </w:rPr>
        <w:t>Vous pouvez toujours demander un temps de réflexion avant l'acte.</w:t>
      </w:r>
    </w:p>
    <w:p w14:paraId="423B4225"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color w:val="010106"/>
          <w:sz w:val="16"/>
          <w:szCs w:val="16"/>
        </w:rPr>
        <w:t>Les tatouages et le piercing doivent être pratiqués dans des conditions d'hygiène strictes. Vous pouvez notamment vous assurer que le professionnel utilise des nouveaux gants jetables après s'être lavé les mains et une nouvelle aiguille non encore déballée. Le professionnel doit mettre à votre disposition une liste des recommandations d'hygiène qu'il est tenu de respecter.</w:t>
      </w:r>
    </w:p>
    <w:p w14:paraId="76655E01"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color w:val="010106"/>
          <w:sz w:val="16"/>
          <w:szCs w:val="16"/>
        </w:rPr>
        <w:t>Vous devrez déclarer avant tout don de sang que vous avez subi un acte de piercing ou de tatouage, même si vous avez retiré l'objet ornemental. Votre don de sang pourrait être refusé pendant une période déterminée.</w:t>
      </w:r>
    </w:p>
    <w:p w14:paraId="29D44107"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color w:val="010106"/>
          <w:sz w:val="16"/>
          <w:szCs w:val="16"/>
        </w:rPr>
        <w:t>Les tatouages et les piercings ne peuvent être effectués sur des personnes qui sont sous l'influence de l'alcool, de drogues, de médicament qui influencent leur capacité de décision ou, plus généralement, qui ne sont pas en possession de leurs capacités de décision.</w:t>
      </w:r>
    </w:p>
    <w:p w14:paraId="4ECF7C57"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color w:val="010106"/>
          <w:sz w:val="16"/>
          <w:szCs w:val="16"/>
        </w:rPr>
        <w:t>En cas d'infections, d'allergie ou d'autres symptômes apparaissant après l'acte, il est recommandé de consulter un médecin. »</w:t>
      </w:r>
    </w:p>
    <w:p w14:paraId="08E1E46F" w14:textId="77777777" w:rsidR="00B500E1" w:rsidRDefault="00B500E1" w:rsidP="00B500E1">
      <w:pPr>
        <w:pBdr>
          <w:top w:val="nil"/>
          <w:left w:val="nil"/>
          <w:bottom w:val="nil"/>
          <w:right w:val="nil"/>
          <w:between w:val="nil"/>
        </w:pBdr>
        <w:shd w:val="clear" w:color="auto" w:fill="FBFBFF"/>
        <w:spacing w:line="240" w:lineRule="auto"/>
        <w:jc w:val="center"/>
        <w:rPr>
          <w:rFonts w:ascii="Lato" w:eastAsia="Lato" w:hAnsi="Lato" w:cs="Lato"/>
          <w:color w:val="010106"/>
          <w:sz w:val="16"/>
          <w:szCs w:val="16"/>
        </w:rPr>
      </w:pPr>
      <w:r>
        <w:rPr>
          <w:rFonts w:ascii="Lato" w:eastAsia="Lato" w:hAnsi="Lato" w:cs="Lato"/>
          <w:b/>
          <w:color w:val="010106"/>
          <w:sz w:val="16"/>
          <w:szCs w:val="16"/>
        </w:rPr>
        <w:t>Art. 9.</w:t>
      </w:r>
      <w:r>
        <w:rPr>
          <w:rFonts w:ascii="Lato" w:eastAsia="Lato" w:hAnsi="Lato" w:cs="Lato"/>
          <w:color w:val="010106"/>
          <w:sz w:val="16"/>
          <w:szCs w:val="16"/>
        </w:rPr>
        <w:t>Le professionnel peut uniquement recourir à des anesthésiants sous forme de crèmes, de gels ou en sprays achetés dans une officine.</w:t>
      </w:r>
    </w:p>
    <w:p w14:paraId="5D052D18" w14:textId="77777777" w:rsidR="00B500E1" w:rsidRDefault="00B500E1" w:rsidP="00B500E1">
      <w:pPr>
        <w:rPr>
          <w:sz w:val="18"/>
          <w:szCs w:val="18"/>
        </w:rPr>
      </w:pPr>
    </w:p>
    <w:p w14:paraId="5E9E7759" w14:textId="77777777" w:rsidR="00B500E1" w:rsidRDefault="00B500E1"/>
    <w:sectPr w:rsidR="00B500E1" w:rsidSect="00B500E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6506F"/>
    <w:multiLevelType w:val="multilevel"/>
    <w:tmpl w:val="FC48DC8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3769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E1"/>
    <w:rsid w:val="00B500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1C52"/>
  <w15:chartTrackingRefBased/>
  <w15:docId w15:val="{8188BECF-B596-4C1C-9E10-2B540F1B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0E1"/>
    <w:rPr>
      <w:rFonts w:ascii="Calibri" w:eastAsia="Calibri" w:hAnsi="Calibri" w:cs="Calibri"/>
      <w:kern w:val="0"/>
      <w:lang w:eastAsia="fr-BE"/>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500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1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5390</Characters>
  <Application>Microsoft Office Word</Application>
  <DocSecurity>0</DocSecurity>
  <Lines>44</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quartel</dc:creator>
  <cp:keywords/>
  <dc:description/>
  <cp:lastModifiedBy>suzanne quartel</cp:lastModifiedBy>
  <cp:revision>1</cp:revision>
  <dcterms:created xsi:type="dcterms:W3CDTF">2024-04-14T12:22:00Z</dcterms:created>
  <dcterms:modified xsi:type="dcterms:W3CDTF">2024-04-14T12:24:00Z</dcterms:modified>
</cp:coreProperties>
</file>